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nsPlusNormal"/>
        <w:numPr>
          <w:ilvl w:val="0"/>
          <w:numId w:val="0"/>
        </w:numPr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cs="Times New Roman" w:ascii="Times New Roman" w:hAnsi="Times New Roman"/>
          <w:sz w:val="24"/>
          <w:szCs w:val="24"/>
        </w:rPr>
        <w:t>Приложение 21</w:t>
      </w:r>
    </w:p>
    <w:p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к государственной программе </w:t>
      </w:r>
    </w:p>
    <w:p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"Развитие образования и науки Брянской области"</w:t>
      </w:r>
    </w:p>
    <w:p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Порядок</w:t>
      </w:r>
    </w:p>
    <w:p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предоставления субсидий бюджетам</w:t>
      </w:r>
    </w:p>
    <w:p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муниципальных районов (муниципальных округов, городских округов) на модернизацию школьных столовых муниципальных общеобразовательных организаций Брянской области в рамках государственной программы «Развитие образования и науки Брянской области»</w:t>
      </w:r>
    </w:p>
    <w:p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 Настоящий Порядок предоставления субсидий бюджетам муниципальных районов (муниципальных округов, городских округов) на модернизацию школьных столовых муниципальных общеобразовательных организаций Брянской области в рамках государственной программы «Развитие образования и науки Брянской области» (далее – Порядок) в соответствии со статьей 139 Бюджетного кодекса Российской Федерации, Правилами формирования, предоставления и распределения субсидий из областного бюджета бюджетам муниципальных образований Брянской области, утвержденными постановлением Правительства Брянской области от 23 июля 2018 года № 362-п (далее - Правила формирования, предоставления и распределения субсидий), устанавливает цели и условия предоставления субсидий из областного бюджета бюджетам муниципальных районов (муниципальных округов, городских округов) (далее - муниципальные образования) на модернизацию школьных столовых муниципальных общеобразовательных организаций Брянской области в рамках государственной программы «Развитие образования и науки Брянской области» (далее - субсидии), критерии отбора муниципальных образований для предоставления субсидий, а также критерии оценки эффективности использования муниципальными образованиями предоставляемых субсидий.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P10926"/>
      <w:bookmarkEnd w:id="1"/>
      <w:r>
        <w:rPr>
          <w:rFonts w:cs="Times New Roman" w:ascii="Times New Roman" w:hAnsi="Times New Roman"/>
          <w:sz w:val="24"/>
          <w:szCs w:val="24"/>
        </w:rPr>
        <w:t>2. Субсидии предоставляются в целях софинансирования выполнения полномочий органов местного самоуправления, связанных с финансовым обеспечением реализации мероприятий, направленных на модернизацию школьных столовых муниципальных общеобразовательных организаций (далее - мероприятия).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 Главным распорядителем средств областного бюджета является департамент образования и науки Брянской области (далее – департамент).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 Субсидии предоставляются по результатам конкурсного отбора муниципальных образований, проводимого департаментом на основании Положения о конкурсном отборе на получение субсидии, утверждаемого департаментом.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Критерием отбора муниципальных образований для предоставления субсидии является потребность в проведении мероприятий в общеобразовательной организации.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0927"/>
      <w:bookmarkEnd w:id="2"/>
      <w:r>
        <w:rPr>
          <w:rFonts w:cs="Times New Roman" w:ascii="Times New Roman" w:hAnsi="Times New Roman"/>
          <w:sz w:val="24"/>
          <w:szCs w:val="24"/>
        </w:rPr>
        <w:t>5. Общий размер субсидии между победителями конкурсного отбора (S</w:t>
      </w:r>
      <w:r>
        <w:rPr>
          <w:rFonts w:cs="Times New Roman" w:ascii="Times New Roman" w:hAnsi="Times New Roman"/>
          <w:sz w:val="24"/>
          <w:szCs w:val="24"/>
          <w:vertAlign w:val="subscript"/>
        </w:rPr>
        <w:t>i</w:t>
      </w:r>
      <w:r>
        <w:rPr>
          <w:rFonts w:cs="Times New Roman" w:ascii="Times New Roman" w:hAnsi="Times New Roman"/>
          <w:sz w:val="24"/>
          <w:szCs w:val="24"/>
        </w:rPr>
        <w:t>) определяется по формуле:</w:t>
      </w:r>
    </w:p>
    <w:p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S</m:t>
            </m:r>
          </m:e>
          <m:sub>
            <m:r>
              <w:rPr>
                <w:rFonts w:ascii="Cambria Math" w:hAnsi="Cambria Math"/>
              </w:rPr>
              <m:t xml:space="preserve">i</m:t>
            </m:r>
            <m:r>
              <w:rPr>
                <w:rFonts w:ascii="Cambria Math" w:hAnsi="Cambria Math"/>
              </w:rPr>
              <m:t xml:space="preserve">=</m:t>
            </m:r>
            <m:nary>
              <m:naryPr>
                <m:chr m:val="∑"/>
              </m:naryPr>
              <m:sub>
                <m:r>
                  <w:rPr>
                    <w:rFonts w:ascii="Cambria Math" w:hAnsi="Cambria Math"/>
                  </w:rPr>
                  <m:t xml:space="preserve">j</m:t>
                </m:r>
              </m:sub>
              <m:sup>
                <m:r>
                  <w:rPr>
                    <w:rFonts w:ascii="Cambria Math" w:hAnsi="Cambria Math"/>
                  </w:rPr>
                  <m:t xml:space="preserve">n</m:t>
                </m:r>
              </m:sup>
              <m:e>
                <m:sSub>
                  <m:e>
                    <m:r>
                      <w:rPr>
                        <w:rFonts w:ascii="Cambria Math" w:hAnsi="Cambria Math"/>
                      </w:rPr>
                      <m:t xml:space="preserve">S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 xml:space="preserve">ij</m:t>
                    </m:r>
                  </m:sub>
                </m:sSub>
              </m:e>
            </m:nary>
          </m:sub>
        </m:sSub>
      </m:oMath>
      <w:r>
        <w:rPr>
          <w:rFonts w:cs="Times New Roman" w:ascii="Times New Roman" w:hAnsi="Times New Roman"/>
          <w:sz w:val="24"/>
          <w:szCs w:val="24"/>
        </w:rPr>
        <w:t>, где:</w:t>
      </w:r>
    </w:p>
    <w:p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</w:t>
      </w:r>
      <w:r>
        <w:rPr>
          <w:rFonts w:cs="Times New Roman" w:ascii="Times New Roman" w:hAnsi="Times New Roman"/>
          <w:sz w:val="24"/>
          <w:szCs w:val="24"/>
          <w:vertAlign w:val="subscript"/>
        </w:rPr>
        <w:t>ij</w:t>
      </w:r>
      <w:r>
        <w:rPr>
          <w:rFonts w:cs="Times New Roman" w:ascii="Times New Roman" w:hAnsi="Times New Roman"/>
          <w:sz w:val="24"/>
          <w:szCs w:val="24"/>
        </w:rPr>
        <w:t xml:space="preserve"> - размер субсидии, предоставляемой бюджету i-го муниципального образования на реализацию мероприятий j-й общеобразовательной организации;</w:t>
      </w:r>
    </w:p>
    <w:p>
      <w:pPr>
        <w:pStyle w:val="ConsPlusNormal"/>
        <w:ind w:firstLine="709"/>
        <w:jc w:val="both"/>
        <w:rPr>
          <w:rFonts w:ascii="Times New Roman" w:hAnsi="Times New Roman" w:eastAsia="Calibri" w:cs="Times New Roman" w:eastAsiaTheme="minorHAnsi"/>
          <w:sz w:val="24"/>
          <w:szCs w:val="24"/>
          <w:lang w:eastAsia="en-US"/>
        </w:rPr>
      </w:pPr>
      <w:r>
        <w:rPr>
          <w:rFonts w:eastAsia="Calibri" w:cs="Times New Roman" w:ascii="Times New Roman" w:hAnsi="Times New Roman" w:eastAsiaTheme="minorHAnsi"/>
          <w:sz w:val="24"/>
          <w:szCs w:val="24"/>
          <w:lang w:eastAsia="en-US"/>
        </w:rPr>
        <w:t>n - общее количество объектов, указанных в прошедшей отбор заявке;</w:t>
      </w:r>
    </w:p>
    <w:p>
      <w:pPr>
        <w:pStyle w:val="ConsPlusNormal"/>
        <w:ind w:firstLine="709"/>
        <w:jc w:val="both"/>
        <w:rPr>
          <w:rFonts w:ascii="Times New Roman" w:hAnsi="Times New Roman" w:eastAsia="Calibri" w:cs="Times New Roman" w:eastAsiaTheme="minorHAnsi"/>
          <w:sz w:val="24"/>
          <w:szCs w:val="24"/>
          <w:lang w:eastAsia="en-US"/>
        </w:rPr>
      </w:pPr>
      <w:r>
        <w:rPr>
          <w:rFonts w:eastAsia="Calibri" w:cs="Times New Roman" w:ascii="Times New Roman" w:hAnsi="Times New Roman" w:eastAsiaTheme="minorHAnsi"/>
          <w:sz w:val="24"/>
          <w:szCs w:val="24"/>
          <w:lang w:eastAsia="en-US"/>
        </w:rPr>
        <w:t>j - порядковый номер объекта в рамках прошедшей отбор заявки i-го муниципального образования, при этом j = 1...n;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 Размер субсидии, предоставляемой бюджету i-го муниципального образования на реализацию мероприятий j-й общеобразовательной организации (S</w:t>
      </w:r>
      <w:r>
        <w:rPr>
          <w:rFonts w:cs="Times New Roman" w:ascii="Times New Roman" w:hAnsi="Times New Roman"/>
          <w:sz w:val="24"/>
          <w:szCs w:val="24"/>
          <w:vertAlign w:val="subscript"/>
        </w:rPr>
        <w:t>ij</w:t>
      </w:r>
      <w:r>
        <w:rPr>
          <w:rFonts w:cs="Times New Roman" w:ascii="Times New Roman" w:hAnsi="Times New Roman"/>
          <w:sz w:val="24"/>
          <w:szCs w:val="24"/>
        </w:rPr>
        <w:t>) определяется по формуле.</w:t>
      </w:r>
    </w:p>
    <w:p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/>
        <w:drawing>
          <wp:inline distT="0" distB="0" distL="0" distR="0">
            <wp:extent cx="1714500" cy="514350"/>
            <wp:effectExtent l="0" t="0" r="0" b="0"/>
            <wp:docPr id="1" name="Рисунок 4" descr="base_23753_63431_328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4" descr="base_23753_63431_3280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So - объем средств, предусмотренный законом об областном бюджете на софинансирование мероприятий муниципальных программ в очередном финансовом году;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Z</w:t>
      </w:r>
      <w:r>
        <w:rPr>
          <w:rFonts w:cs="Times New Roman" w:ascii="Times New Roman" w:hAnsi="Times New Roman"/>
          <w:sz w:val="24"/>
          <w:szCs w:val="24"/>
          <w:vertAlign w:val="subscript"/>
        </w:rPr>
        <w:t>ij</w:t>
      </w:r>
      <w:r>
        <w:rPr>
          <w:rFonts w:cs="Times New Roman" w:ascii="Times New Roman" w:hAnsi="Times New Roman"/>
          <w:sz w:val="24"/>
          <w:szCs w:val="24"/>
        </w:rPr>
        <w:t xml:space="preserve"> – объем средств на исполнение мероприятия j-й общеобразовательной организации i-го муниципального образования;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Y</w:t>
      </w:r>
      <w:r>
        <w:rPr>
          <w:rFonts w:cs="Times New Roman" w:ascii="Times New Roman" w:hAnsi="Times New Roman"/>
          <w:sz w:val="24"/>
          <w:szCs w:val="24"/>
          <w:vertAlign w:val="subscript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- предельный уровень софинансирования расходного обязательства i-го муниципального образования из областного бюджета, утвержденного нормативным правовым актом Правительства Брянской области.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7. Распределение субсидий между бюджетами муниципальных образований утверждается нормативным правовым актом Правительства Брянской области.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8. Субсидии предоставляются при условии: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1) наличия в муниципальном образовании утвержденной муниципальной программы, включающей в себя мероприятия, предусмотренные пунктом 2 настоящего Порядка;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2) наличия в бюджете муниципального образования бюджетных ассигнований на исполнение расходного обязательства в объеме, рассчитанном с учетом предельного уровня софинансирования расходного обязательства муниципального образования из областного бюджета, утверждаемого нормативным правовым актом Правительства Брянской области;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3) заключения между департаментом и органом местного самоуправления муниципального образования соглашения о предоставлении субсидии (далее - соглашение) в соответствии с пунктом 10 Правил формирования, предоставления и распределения субсидий.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9. Объем бюджетных ассигнований бюджета муниципального образования на финансовое обеспечение расходного обязательства муниципального образования, софинансируемого за счет субсидии, утверждается решением представительного органа муниципального образования о местном бюджете (определяется сводной бюджетной росписью бюджета муниципального образования) исходя из необходимости достижения установленного соглашением значения результата использования субсидии.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10. Предоставление субсидии осуществляется на основании соглашения, подготовленного и заключенного в государственной информационной системе управления государственными и муниципальными финансами Брянской области «Электронный бюджет Брянской области» (далее - система «Электронный бюджет Брянской области»).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заключении соглашения орган местного самоуправления муниципального образования представляет в департамент документы, подтверждающие исполнение условий предоставления субсидии, предусмотренных подпунктами «а», «б» пункта 8 настоящего Порядка.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11. Соглашения и дополнительные соглашения к соглашению, предусматривающие внесение в него изменений и его расторжение, заключаются в системе «Электронный бюджет Брянской области» в соответствии с типовыми формами, утвержденными приказом департамента финансов Брянской области. 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12. Внесение в соглашение изменений, предусматривающих ухудшение значения результата использования субсидии, а также увеличение сроков реализации предусмотренных соглашением мероприятий не допускается, за исключением случаев, изменения значений показателей (индикаторов) государственной программы, а также случая сокращения размера субсидии.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13. Перечисление субсидий осуществляется в установленном порядке на счета, открытые Управлению</w:t>
      </w:r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Федерального казначейства по Брянской области</w:t>
      </w:r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 учреждениях Центрального банка Российской Федерации для учета операций со средствами бюджетов муниципальных образований.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14. Эффективность использования муниципальными образованиями предоставленных субсидий определяется на основании сравнения планируемых и достигнутых значений результатов использования субсидий муниципальными образованиями. Результатом использования субсидии является количество организаций, в которых выполнены мероприятия, указанные в пункте 2 настоящего Порядка.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15. Оценка эффективности использования муниципальным образованием субсидии осуществляется исходя из достигнутого значения результата использования субсидии, предусмотренного пунктом 14 настоящего Порядка.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16. Орган местного самоуправления муниципального образования размещает в сроки и порядке, установленные соглашением, в системе «Электронный бюджет Брянской области»: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отчет о расходах бюджета муниципального образования, в целях софинансирования которых предоставлена субсидия;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отчет о достижении значения результата использования субсидии.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17. В случае если муниципальным образованием по состоянию на 31 декабря года предоставления субсидии допущены нарушения обязательств, предусмотренных соглашением, в соответствии с подпунктом «б(1)» пункта 10 Правил формирования, предоставления и распределения субсидий и в срок до первой даты представления отчетности о достижении значения результата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бюджета муниципального образования в областной бюджет, и срок возврата указанных средств определяются в соответствии с пунктами 16 - 18 Правил формирования, предоставления и распределения субсидий.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Освобождение муниципального образования от применения мер ответственности, предусмотренных пунктом 16 Правил формирования, предоставления и распределения субсидий, в том числе возврата средств в доход областного бюджета, осуществляется в соответствии с пунктом 20 указанных Правил.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18. В случае нецелевого использования субсидии муниципальным образованием к нему применяются бюджетные меры принуждения, предусмотренные бюджетным законодательством Российской Федерации.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GoBack"/>
      <w:r>
        <w:rPr>
          <w:rFonts w:cs="Times New Roman" w:ascii="Times New Roman" w:hAnsi="Times New Roman"/>
          <w:sz w:val="24"/>
          <w:szCs w:val="24"/>
        </w:rPr>
        <w:t>19. Контроль за соблюдением муниципальным образованием условий предоставления и расходования субсидии осуществляется департаментом.</w:t>
      </w:r>
      <w:bookmarkEnd w:id="3"/>
    </w:p>
    <w:sectPr>
      <w:type w:val="nextPage"/>
      <w:pgSz w:w="11906" w:h="16838"/>
      <w:pgMar w:left="1701" w:right="851" w:header="0" w:top="851" w:footer="0" w:bottom="851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Courier New">
    <w:charset w:val="cc"/>
    <w:family w:val="roman"/>
    <w:pitch w:val="variable"/>
  </w:font>
  <w:font w:name="Ari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47110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3"/>
    <w:uiPriority w:val="99"/>
    <w:semiHidden/>
    <w:qFormat/>
    <w:rsid w:val="00ef53e8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qFormat/>
    <w:rsid w:val="00876425"/>
    <w:rPr>
      <w:color w:val="808080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 Unicode MS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 Unicode MS"/>
    </w:rPr>
  </w:style>
  <w:style w:type="paragraph" w:styleId="ConsPlusNormal" w:customStyle="1">
    <w:name w:val="ConsPlusNormal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eastAsia="ru-RU" w:val="ru-RU" w:bidi="ar-SA"/>
    </w:rPr>
  </w:style>
  <w:style w:type="paragraph" w:styleId="ConsPlusNonformat" w:customStyle="1">
    <w:name w:val="ConsPlusNonformat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eastAsia="ru-RU" w:val="ru-RU" w:bidi="ar-SA"/>
    </w:rPr>
  </w:style>
  <w:style w:type="paragraph" w:styleId="ConsPlusTitle" w:customStyle="1">
    <w:name w:val="ConsPlusTitle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b/>
      <w:color w:val="auto"/>
      <w:kern w:val="0"/>
      <w:sz w:val="22"/>
      <w:szCs w:val="20"/>
      <w:lang w:eastAsia="ru-RU" w:val="ru-RU" w:bidi="ar-SA"/>
    </w:rPr>
  </w:style>
  <w:style w:type="paragraph" w:styleId="ConsPlusCell" w:customStyle="1">
    <w:name w:val="ConsPlusCell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eastAsia="ru-RU" w:val="ru-RU" w:bidi="ar-SA"/>
    </w:rPr>
  </w:style>
  <w:style w:type="paragraph" w:styleId="ConsPlusDocList" w:customStyle="1">
    <w:name w:val="ConsPlusDocList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eastAsia="ru-RU" w:val="ru-RU" w:bidi="ar-SA"/>
    </w:rPr>
  </w:style>
  <w:style w:type="paragraph" w:styleId="ConsPlusTitlePage" w:customStyle="1">
    <w:name w:val="ConsPlusTitlePage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Tahoma" w:hAnsi="Tahoma" w:eastAsia="Times New Roman" w:cs="Tahoma"/>
      <w:color w:val="auto"/>
      <w:kern w:val="0"/>
      <w:sz w:val="20"/>
      <w:szCs w:val="20"/>
      <w:lang w:eastAsia="ru-RU" w:val="ru-RU" w:bidi="ar-SA"/>
    </w:rPr>
  </w:style>
  <w:style w:type="paragraph" w:styleId="ConsPlusJurTerm" w:customStyle="1">
    <w:name w:val="ConsPlusJurTerm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Tahoma" w:hAnsi="Tahoma" w:eastAsia="Times New Roman" w:cs="Tahoma"/>
      <w:color w:val="auto"/>
      <w:kern w:val="0"/>
      <w:sz w:val="26"/>
      <w:szCs w:val="20"/>
      <w:lang w:eastAsia="ru-RU" w:val="ru-RU" w:bidi="ar-SA"/>
    </w:rPr>
  </w:style>
  <w:style w:type="paragraph" w:styleId="ConsPlusTextList" w:customStyle="1">
    <w:name w:val="ConsPlusTextList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eastAsia="ru-RU" w:val="ru-RU" w:bidi="ar-SA"/>
    </w:rPr>
  </w:style>
  <w:style w:type="paragraph" w:styleId="BalloonText">
    <w:name w:val="Balloon Text"/>
    <w:basedOn w:val="Normal"/>
    <w:link w:val="a4"/>
    <w:uiPriority w:val="99"/>
    <w:semiHidden/>
    <w:unhideWhenUsed/>
    <w:qFormat/>
    <w:rsid w:val="00ef53e8"/>
    <w:pPr/>
    <w:rPr>
      <w:rFonts w:ascii="Tahoma" w:hAnsi="Tahoma" w:eastAsia="Calibri" w:cs="Tahoma" w:eastAsiaTheme="minorHAnsi"/>
      <w:sz w:val="16"/>
      <w:szCs w:val="16"/>
      <w:lang w:eastAsia="en-U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Application>LibreOffice/7.0.1.2$Windows_X86_64 LibreOffice_project/7cbcfc562f6eb6708b5ff7d7397325de9e764452</Application>
  <Pages>3</Pages>
  <Words>928</Words>
  <Characters>7558</Characters>
  <CharactersWithSpaces>8451</CharactersWithSpaces>
  <Paragraphs>41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2021-05-27T11:29:00Z</dcterms:created>
  <dc:creator>User</dc:creator>
  <dc:description/>
  <dc:language>ru-RU</dc:language>
  <cp:lastModifiedBy>User</cp:lastModifiedBy>
  <cp:lastPrinted>2021-04-26T12:27:00Z</cp:lastPrinted>
  <dcterms:modified xsi:type="dcterms:W3CDTF">2021-10-12T13:10:00Z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